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3C43B" w14:textId="63C537DD" w:rsidR="00D25C55" w:rsidRDefault="00D25C55" w:rsidP="00D25C55">
      <w:pPr>
        <w:rPr>
          <w:sz w:val="10"/>
          <w:szCs w:val="10"/>
        </w:rPr>
      </w:pPr>
    </w:p>
    <w:p w14:paraId="6CEBFBE6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342B991F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6A6CE" wp14:editId="56C9FB36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D8612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53A7261" w14:textId="1FFCF2D4" w:rsidR="00E46972" w:rsidRPr="000A6BDA" w:rsidRDefault="00E46972" w:rsidP="000A6BDA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7E42B41F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68"/>
        <w:gridCol w:w="4927"/>
      </w:tblGrid>
      <w:tr w:rsidR="00E46972" w:rsidRPr="00E46972" w14:paraId="2AED6958" w14:textId="77777777" w:rsidTr="00ED4BD9">
        <w:tc>
          <w:tcPr>
            <w:tcW w:w="4968" w:type="dxa"/>
            <w:vAlign w:val="center"/>
          </w:tcPr>
          <w:p w14:paraId="60051500" w14:textId="54A75295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1B15A7">
              <w:rPr>
                <w:rFonts w:asciiTheme="majorBidi" w:hAnsiTheme="majorBidi" w:cstheme="majorBidi"/>
                <w:sz w:val="28"/>
                <w:szCs w:val="28"/>
              </w:rPr>
              <w:t xml:space="preserve">Organizational </w:t>
            </w:r>
            <w:r w:rsidR="00F03F6D">
              <w:rPr>
                <w:rFonts w:asciiTheme="majorBidi" w:hAnsiTheme="majorBidi" w:cstheme="majorBidi"/>
                <w:sz w:val="28"/>
                <w:szCs w:val="28"/>
              </w:rPr>
              <w:t>Behavior</w:t>
            </w:r>
          </w:p>
        </w:tc>
        <w:tc>
          <w:tcPr>
            <w:tcW w:w="4927" w:type="dxa"/>
            <w:vAlign w:val="center"/>
          </w:tcPr>
          <w:p w14:paraId="3E039810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2F003349" w14:textId="77777777" w:rsidTr="00ED4BD9">
        <w:tc>
          <w:tcPr>
            <w:tcW w:w="4968" w:type="dxa"/>
            <w:vAlign w:val="center"/>
          </w:tcPr>
          <w:p w14:paraId="70EF0C0A" w14:textId="4B13F44C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MGT</w:t>
            </w:r>
            <w:r w:rsidR="001B15A7">
              <w:rPr>
                <w:rFonts w:asciiTheme="majorBidi" w:hAnsiTheme="majorBidi" w:cstheme="majorBidi"/>
                <w:sz w:val="28"/>
                <w:szCs w:val="28"/>
              </w:rPr>
              <w:t>301</w:t>
            </w:r>
          </w:p>
        </w:tc>
        <w:tc>
          <w:tcPr>
            <w:tcW w:w="4927" w:type="dxa"/>
            <w:vAlign w:val="center"/>
          </w:tcPr>
          <w:p w14:paraId="1DADC8E1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3E1BAA75" w14:textId="77777777" w:rsidTr="00ED4BD9">
        <w:tc>
          <w:tcPr>
            <w:tcW w:w="4968" w:type="dxa"/>
            <w:vAlign w:val="center"/>
          </w:tcPr>
          <w:p w14:paraId="35BC3F4D" w14:textId="6A3BD092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5C5335">
              <w:rPr>
                <w:rFonts w:asciiTheme="majorBidi" w:hAnsiTheme="majorBidi" w:cstheme="majorBidi"/>
                <w:sz w:val="28"/>
                <w:szCs w:val="28"/>
              </w:rPr>
              <w:t>1st</w:t>
            </w:r>
          </w:p>
        </w:tc>
        <w:tc>
          <w:tcPr>
            <w:tcW w:w="4927" w:type="dxa"/>
            <w:vAlign w:val="center"/>
          </w:tcPr>
          <w:p w14:paraId="11D54744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7FE3FEE0" w14:textId="77777777" w:rsidTr="009D49C8">
        <w:tc>
          <w:tcPr>
            <w:tcW w:w="9895" w:type="dxa"/>
            <w:gridSpan w:val="2"/>
            <w:vAlign w:val="center"/>
          </w:tcPr>
          <w:p w14:paraId="46673188" w14:textId="6A3DBA69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14:paraId="68B5DAB9" w14:textId="77777777" w:rsidR="00FA489A" w:rsidRDefault="00FA489A">
      <w:pPr>
        <w:rPr>
          <w:rFonts w:asciiTheme="majorBidi" w:hAnsiTheme="majorBidi" w:cstheme="majorBidi"/>
        </w:rPr>
      </w:pPr>
    </w:p>
    <w:p w14:paraId="2394D515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09EDA3E7" w14:textId="77777777" w:rsidTr="0091710E">
        <w:tc>
          <w:tcPr>
            <w:tcW w:w="9921" w:type="dxa"/>
            <w:gridSpan w:val="2"/>
          </w:tcPr>
          <w:p w14:paraId="1FBF535C" w14:textId="6A1554A1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4F61A0">
              <w:rPr>
                <w:rFonts w:asciiTheme="majorBidi" w:hAnsiTheme="majorBidi" w:cstheme="majorBidi"/>
                <w:sz w:val="28"/>
                <w:szCs w:val="28"/>
              </w:rPr>
              <w:t xml:space="preserve"> Dr </w:t>
            </w:r>
            <w:proofErr w:type="spellStart"/>
            <w:r w:rsidR="004F61A0">
              <w:rPr>
                <w:rFonts w:asciiTheme="majorBidi" w:hAnsiTheme="majorBidi" w:cstheme="majorBidi"/>
                <w:sz w:val="28"/>
                <w:szCs w:val="28"/>
              </w:rPr>
              <w:t>xxxxxxxxxxxxxxx</w:t>
            </w:r>
            <w:proofErr w:type="spellEnd"/>
          </w:p>
        </w:tc>
      </w:tr>
      <w:tr w:rsidR="00FA489A" w14:paraId="0E6F1F2C" w14:textId="77777777" w:rsidTr="00FA489A">
        <w:tc>
          <w:tcPr>
            <w:tcW w:w="4680" w:type="dxa"/>
          </w:tcPr>
          <w:p w14:paraId="7CB58039" w14:textId="6F3C1DB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</w:t>
            </w:r>
            <w:r w:rsidR="005C5335">
              <w:rPr>
                <w:rFonts w:asciiTheme="majorBidi" w:hAnsiTheme="majorBidi" w:cstheme="majorBidi"/>
                <w:sz w:val="26"/>
                <w:szCs w:val="26"/>
              </w:rPr>
              <w:t xml:space="preserve"> 05</w:t>
            </w:r>
          </w:p>
        </w:tc>
        <w:tc>
          <w:tcPr>
            <w:tcW w:w="5241" w:type="dxa"/>
          </w:tcPr>
          <w:p w14:paraId="5A050A75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580B8757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15195F6" wp14:editId="31F2A57B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D5F84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4D5402D3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2AFD39E9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4FA370A4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4C252AFB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48EEAC2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074E8319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6A081B63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540FA5D7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775A1320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559CB3A7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7A4DF69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0B1BC5DF" w14:textId="77777777" w:rsidR="0091710E" w:rsidRDefault="0091710E" w:rsidP="0091710E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tbl>
      <w:tblPr>
        <w:tblStyle w:val="TableGrid"/>
        <w:tblpPr w:leftFromText="180" w:rightFromText="180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336"/>
        <w:gridCol w:w="9240"/>
      </w:tblGrid>
      <w:tr w:rsidR="009D32C8" w:rsidRPr="00F04B42" w14:paraId="190C95C3" w14:textId="77777777" w:rsidTr="00BA41EF">
        <w:tc>
          <w:tcPr>
            <w:tcW w:w="336" w:type="dxa"/>
          </w:tcPr>
          <w:p w14:paraId="43829FE7" w14:textId="77777777" w:rsidR="009D32C8" w:rsidRPr="000D1116" w:rsidRDefault="009D32C8" w:rsidP="00BA41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1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240" w:type="dxa"/>
          </w:tcPr>
          <w:p w14:paraId="053D3AFC" w14:textId="33AA6B7B" w:rsidR="009D32C8" w:rsidRPr="000D1116" w:rsidRDefault="001B15A7" w:rsidP="001B15A7">
            <w:pPr>
              <w:shd w:val="clear" w:color="auto" w:fill="F4F4F4"/>
              <w:rPr>
                <w:rFonts w:asciiTheme="majorBidi" w:eastAsia="Times New Roman" w:hAnsiTheme="majorBidi" w:cstheme="majorBidi"/>
                <w:color w:val="111111"/>
                <w:sz w:val="24"/>
                <w:szCs w:val="24"/>
              </w:rPr>
            </w:pPr>
            <w:r w:rsidRPr="000D111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Demonstrate a clear understanding of human work behavior in the organizational setting and the implications of organizational behavior in the process of management </w:t>
            </w:r>
            <w:r w:rsidRPr="000D1116">
              <w:rPr>
                <w:rFonts w:asciiTheme="majorBidi" w:hAnsiTheme="majorBidi" w:cstheme="majorBidi"/>
                <w:sz w:val="24"/>
                <w:szCs w:val="24"/>
              </w:rPr>
              <w:t>(Lo 1.2).</w:t>
            </w:r>
          </w:p>
        </w:tc>
      </w:tr>
      <w:tr w:rsidR="009D32C8" w:rsidRPr="00F04B42" w14:paraId="0717DB31" w14:textId="77777777" w:rsidTr="00BA41EF">
        <w:tc>
          <w:tcPr>
            <w:tcW w:w="336" w:type="dxa"/>
          </w:tcPr>
          <w:p w14:paraId="12DA26DF" w14:textId="77777777" w:rsidR="009D32C8" w:rsidRPr="000D1116" w:rsidRDefault="009D32C8" w:rsidP="00BA41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1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240" w:type="dxa"/>
          </w:tcPr>
          <w:p w14:paraId="5611E1FF" w14:textId="5D2579F1" w:rsidR="009D32C8" w:rsidRPr="000D1116" w:rsidRDefault="001B15A7" w:rsidP="000D111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1116">
              <w:rPr>
                <w:rFonts w:asciiTheme="majorBidi" w:hAnsiTheme="majorBidi" w:cstheme="majorBidi"/>
                <w:sz w:val="24"/>
                <w:szCs w:val="24"/>
              </w:rPr>
              <w:t>Recognize the impact of organizational culture on shaping values, attitudes and behavior (Lo 1.9).</w:t>
            </w:r>
          </w:p>
        </w:tc>
      </w:tr>
    </w:tbl>
    <w:p w14:paraId="17A919E7" w14:textId="77777777" w:rsidR="0059662A" w:rsidRDefault="0059662A" w:rsidP="0059662A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</w:rPr>
      </w:pPr>
    </w:p>
    <w:p w14:paraId="4D537AB3" w14:textId="341CC17D" w:rsidR="009D32C8" w:rsidRPr="00802CC1" w:rsidRDefault="0059662A" w:rsidP="0059662A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sz w:val="32"/>
          <w:szCs w:val="32"/>
          <w:u w:val="single"/>
        </w:rPr>
      </w:pPr>
      <w:r w:rsidRPr="00802CC1">
        <w:rPr>
          <w:b/>
          <w:bCs/>
          <w:color w:val="002060"/>
          <w:sz w:val="32"/>
          <w:szCs w:val="32"/>
          <w:u w:val="single"/>
        </w:rPr>
        <w:t>Assignment 1</w:t>
      </w:r>
    </w:p>
    <w:p w14:paraId="3B2BEC77" w14:textId="77777777" w:rsidR="009F2B11" w:rsidRDefault="000D1116" w:rsidP="009F2B11">
      <w:pPr>
        <w:pStyle w:val="NormalWeb"/>
        <w:spacing w:before="0" w:beforeAutospacing="0" w:after="240" w:afterAutospacing="0"/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</w:pPr>
      <w:r w:rsidRPr="000D1116"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  <w:t>Reference Source:</w:t>
      </w:r>
      <w:r w:rsidR="009F2B11"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  <w:t xml:space="preserve"> </w:t>
      </w:r>
    </w:p>
    <w:p w14:paraId="7BA9DC42" w14:textId="7B6891E1" w:rsidR="009F2B11" w:rsidRPr="00A913D2" w:rsidRDefault="009F2B11" w:rsidP="009F2B11">
      <w:pPr>
        <w:pStyle w:val="NormalWeb"/>
        <w:spacing w:before="0" w:beforeAutospacing="0" w:after="240" w:afterAutospacing="0"/>
        <w:rPr>
          <w:rFonts w:ascii="Helvetica Neue" w:hAnsi="Helvetica Neue"/>
          <w:b/>
          <w:bCs/>
          <w:color w:val="111111"/>
          <w:lang w:val="en-IN" w:eastAsia="en-GB"/>
        </w:rPr>
      </w:pPr>
      <w:r w:rsidRPr="00A913D2">
        <w:rPr>
          <w:rFonts w:ascii="Helvetica Neue" w:hAnsi="Helvetica Neue"/>
          <w:b/>
          <w:bCs/>
          <w:color w:val="111111"/>
          <w:lang w:val="en-IN" w:eastAsia="en-GB"/>
        </w:rPr>
        <w:t>Textbook:-</w:t>
      </w:r>
    </w:p>
    <w:p w14:paraId="3E73DCC4" w14:textId="77777777" w:rsidR="009F2B11" w:rsidRPr="009F2B11" w:rsidRDefault="009F2B11" w:rsidP="009F2B1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val="en-IN" w:eastAsia="en-GB"/>
        </w:rPr>
      </w:pPr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Colquitt, J. A., </w:t>
      </w:r>
      <w:proofErr w:type="spellStart"/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>LePine</w:t>
      </w:r>
      <w:proofErr w:type="spellEnd"/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>, J. A., &amp; Wesson, M. J. (2019). </w:t>
      </w:r>
      <w:r w:rsidRPr="009F2B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en-IN" w:eastAsia="en-GB"/>
        </w:rPr>
        <w:t>Organizational behaviour: Improving performance and commitment in the workplace (6th ed)</w:t>
      </w:r>
      <w:r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>. Burr Ridge, IL: McGraw-Hill Irwin.</w:t>
      </w:r>
    </w:p>
    <w:p w14:paraId="37B03D7C" w14:textId="6116B22D" w:rsidR="000D1116" w:rsidRDefault="000D1116" w:rsidP="000D1116">
      <w:pPr>
        <w:spacing w:line="276" w:lineRule="auto"/>
        <w:rPr>
          <w:rFonts w:asciiTheme="majorBidi" w:hAnsiTheme="majorBidi" w:cstheme="majorBidi"/>
          <w:b/>
          <w:bCs/>
          <w:color w:val="0160AE"/>
          <w:sz w:val="24"/>
          <w:szCs w:val="24"/>
          <w:u w:val="single"/>
          <w:shd w:val="clear" w:color="auto" w:fill="FFFFFF"/>
        </w:rPr>
      </w:pPr>
    </w:p>
    <w:p w14:paraId="3EBE5B10" w14:textId="13DB4184" w:rsidR="00B3646B" w:rsidRDefault="00B3646B" w:rsidP="000D1116">
      <w:pPr>
        <w:spacing w:line="276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</w:pPr>
      <w:r w:rsidRPr="002A78C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Case Study: -</w:t>
      </w:r>
    </w:p>
    <w:p w14:paraId="5D6D276A" w14:textId="42AD4E4D" w:rsidR="00C50EA1" w:rsidRPr="00C66197" w:rsidRDefault="00C50EA1" w:rsidP="000D1116">
      <w:pPr>
        <w:spacing w:line="276" w:lineRule="auto"/>
        <w:rPr>
          <w:rFonts w:asciiTheme="majorBidi" w:hAnsiTheme="majorBidi" w:cstheme="majorBidi"/>
          <w:b/>
          <w:bCs/>
          <w:color w:val="0160AE"/>
          <w:sz w:val="40"/>
          <w:szCs w:val="40"/>
          <w:u w:val="single"/>
          <w:shd w:val="clear" w:color="auto" w:fill="FFFFFF"/>
        </w:rPr>
      </w:pPr>
      <w:r w:rsidRPr="00C66197">
        <w:rPr>
          <w:rFonts w:asciiTheme="majorBidi" w:hAnsiTheme="majorBidi" w:cstheme="majorBidi"/>
          <w:b/>
          <w:bCs/>
          <w:color w:val="0160AE"/>
          <w:sz w:val="40"/>
          <w:szCs w:val="40"/>
          <w:u w:val="single"/>
          <w:shd w:val="clear" w:color="auto" w:fill="FFFFFF"/>
        </w:rPr>
        <w:t>Case: Google</w:t>
      </w:r>
    </w:p>
    <w:p w14:paraId="625CC377" w14:textId="7DAA9321" w:rsidR="00B3646B" w:rsidRPr="00C66197" w:rsidRDefault="000C108F" w:rsidP="00C50EA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r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>Please read the case “</w:t>
      </w:r>
      <w:r w:rsidR="00C50EA1"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Google</w:t>
      </w:r>
      <w:r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” from </w:t>
      </w:r>
      <w:r w:rsidRPr="000C10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Chapter 6</w:t>
      </w:r>
      <w:r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 “</w:t>
      </w:r>
      <w:r w:rsidR="00C50EA1" w:rsidRPr="00C66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en-IN" w:eastAsia="en-GB"/>
        </w:rPr>
        <w:t>Motivation</w:t>
      </w:r>
      <w:r w:rsidR="00C50EA1"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>.</w:t>
      </w:r>
      <w:r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” </w:t>
      </w:r>
      <w:r w:rsidR="00C50EA1" w:rsidRPr="00C6619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Page: - 187 </w:t>
      </w:r>
      <w:r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given in your textbook – </w:t>
      </w:r>
      <w:r w:rsidR="00C50EA1" w:rsidRPr="009F2B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Organizational behaviour: Improving performance and commitment in the workplace </w:t>
      </w:r>
      <w:r w:rsidR="00C50EA1" w:rsidRPr="009F2B1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val="en-IN" w:eastAsia="en-GB"/>
        </w:rPr>
        <w:t>(6th ed</w:t>
      </w:r>
      <w:r w:rsidR="00C50EA1" w:rsidRPr="009F2B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val="en-IN" w:eastAsia="en-GB"/>
        </w:rPr>
        <w:t>)</w:t>
      </w:r>
      <w:r w:rsidR="00C50EA1"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. </w:t>
      </w:r>
      <w:r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 by </w:t>
      </w:r>
      <w:r w:rsidR="00C50EA1"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Colquitt, J. A., </w:t>
      </w:r>
      <w:proofErr w:type="spellStart"/>
      <w:r w:rsidR="00C50EA1"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>LePine</w:t>
      </w:r>
      <w:proofErr w:type="spellEnd"/>
      <w:r w:rsidR="00C50EA1" w:rsidRPr="009F2B1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IN" w:eastAsia="en-GB"/>
        </w:rPr>
        <w:t xml:space="preserve">, J. A., &amp; Wesson, M. J. </w:t>
      </w:r>
      <w:r w:rsidR="00C50EA1" w:rsidRPr="009F2B1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IN" w:eastAsia="en-GB"/>
        </w:rPr>
        <w:t>(2019)</w:t>
      </w:r>
      <w:r w:rsidR="00C50EA1" w:rsidRPr="00C66197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IN" w:eastAsia="en-GB"/>
        </w:rPr>
        <w:t xml:space="preserve"> </w:t>
      </w:r>
      <w:r w:rsidRPr="000C108F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>and Answer the following Questions:</w:t>
      </w:r>
    </w:p>
    <w:p w14:paraId="7DAE2B7E" w14:textId="1E776CC7" w:rsidR="005107A3" w:rsidRDefault="005107A3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</w:rPr>
      </w:pPr>
      <w:r w:rsidRPr="00927482">
        <w:rPr>
          <w:b/>
          <w:bCs/>
          <w:color w:val="002060"/>
        </w:rPr>
        <w:t>Assignment Question(s)</w:t>
      </w:r>
      <w:r w:rsidRPr="00927482">
        <w:rPr>
          <w:b/>
          <w:bCs/>
        </w:rPr>
        <w:t>:</w:t>
      </w:r>
    </w:p>
    <w:p w14:paraId="6694CAAF" w14:textId="77777777" w:rsidR="000D1116" w:rsidRPr="00927482" w:rsidRDefault="000D1116" w:rsidP="0092748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spacing w:val="-1"/>
        </w:rPr>
      </w:pPr>
    </w:p>
    <w:p w14:paraId="35D9265E" w14:textId="00B3A166" w:rsidR="001B15A7" w:rsidRPr="00C66197" w:rsidRDefault="00B801BC" w:rsidP="00251B7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 w:eastAsia="en-GB"/>
        </w:rPr>
      </w:pPr>
      <w:r w:rsidRPr="001966A1">
        <w:rPr>
          <w:rFonts w:asciiTheme="majorBidi" w:eastAsia="Times New Roman" w:hAnsiTheme="majorBidi" w:cstheme="majorBidi"/>
          <w:b/>
          <w:bCs/>
          <w:sz w:val="24"/>
          <w:szCs w:val="24"/>
        </w:rPr>
        <w:t>1.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  </w:t>
      </w:r>
      <w:r w:rsidR="00F553B7" w:rsidRPr="00C6619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IN" w:eastAsia="en-GB"/>
        </w:rPr>
        <w:t>Do you agree with Bock that star performers should get a lot more—not just a little more—than average performers? If someone earning a 3 on Google’s evaluation system gets a 2 percent raise, what should employees earning 4’s and 5’s get?</w:t>
      </w:r>
      <w:r w:rsidR="00A913D2" w:rsidRPr="00C6619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IN" w:eastAsia="en-GB"/>
        </w:rPr>
        <w:t xml:space="preserve"> </w:t>
      </w:r>
      <w:r w:rsidR="00A913D2"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>(1.25 Marks )</w:t>
      </w:r>
    </w:p>
    <w:p w14:paraId="37773A85" w14:textId="4AC461B9" w:rsidR="001B15A7" w:rsidRPr="00C66197" w:rsidRDefault="00B801BC" w:rsidP="00251B7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C6619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553B7" w:rsidRPr="00C6619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IN" w:eastAsia="en-GB"/>
        </w:rPr>
        <w:t>Given the budget issues created by giving star performers more, should someone earning a 3 get a 2 percent raise—or should they get less? What are the arguments for and against a 2 percent raise level for average performers?</w:t>
      </w:r>
      <w:r w:rsidR="00A913D2"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 xml:space="preserve"> (1.25 Marks )</w:t>
      </w:r>
    </w:p>
    <w:p w14:paraId="4F6C28D1" w14:textId="0E2EA53E" w:rsidR="001B15A7" w:rsidRPr="00C66197" w:rsidRDefault="00B801BC" w:rsidP="00251B7D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IN" w:eastAsia="en-GB"/>
        </w:rPr>
      </w:pPr>
      <w:r w:rsidRPr="00C66197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C6619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553B7" w:rsidRPr="00C6619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IN" w:eastAsia="en-GB"/>
        </w:rPr>
        <w:t>Consider all the things Google’s People Operations group does to motivate its employees. Which motivation theories do they seem to be leveraging, and how?</w:t>
      </w:r>
      <w:r w:rsidR="00A913D2"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 xml:space="preserve"> (1.25 Marks )</w:t>
      </w:r>
    </w:p>
    <w:p w14:paraId="0A9127C6" w14:textId="66A53BB6" w:rsidR="006703F6" w:rsidRPr="00C66197" w:rsidRDefault="006703F6" w:rsidP="00F553B7">
      <w:pPr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shd w:val="clear" w:color="auto" w:fill="FFFFFF"/>
          <w:lang w:val="en-IN" w:eastAsia="en-GB"/>
        </w:rPr>
        <w:t>Part:-2</w:t>
      </w:r>
    </w:p>
    <w:p w14:paraId="269081EF" w14:textId="1BA224A7" w:rsidR="00E46972" w:rsidRPr="00C66197" w:rsidRDefault="006703F6" w:rsidP="00B80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6197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</w:t>
      </w:r>
      <w:r w:rsidR="00A913D2" w:rsidRPr="00C661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B15A7" w:rsidRPr="00C66197">
        <w:rPr>
          <w:rFonts w:ascii="Times New Roman" w:eastAsia="Times New Roman" w:hAnsi="Times New Roman" w:cs="Times New Roman"/>
          <w:b/>
          <w:bCs/>
          <w:sz w:val="24"/>
          <w:szCs w:val="24"/>
        </w:rPr>
        <w:t>question:</w:t>
      </w:r>
      <w:r w:rsidR="001B15A7" w:rsidRPr="00C66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1D94" w:rsidRPr="00C66197">
        <w:rPr>
          <w:rFonts w:ascii="Times New Roman" w:eastAsia="Times New Roman" w:hAnsi="Times New Roman" w:cs="Times New Roman"/>
          <w:b/>
          <w:bCs/>
          <w:sz w:val="24"/>
          <w:szCs w:val="24"/>
        </w:rPr>
        <w:t>Page: -167</w:t>
      </w:r>
      <w:r w:rsidR="00A913D2" w:rsidRPr="00C661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1D94" w:rsidRPr="00C66197">
        <w:rPr>
          <w:rFonts w:ascii="Times New Roman" w:eastAsia="Times New Roman" w:hAnsi="Times New Roman" w:cs="Times New Roman"/>
          <w:sz w:val="24"/>
          <w:szCs w:val="24"/>
        </w:rPr>
        <w:t xml:space="preserve"> please see the table and read carefully and then give your answers on the basis of your understanding.</w:t>
      </w:r>
    </w:p>
    <w:p w14:paraId="6EA9A9A0" w14:textId="77777777" w:rsidR="00A913D2" w:rsidRPr="00C66197" w:rsidRDefault="00A913D2" w:rsidP="00B801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CCD6BE" w14:textId="3663E29D" w:rsidR="000D1116" w:rsidRPr="00C66197" w:rsidRDefault="00A913D2" w:rsidP="00251B7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619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4.</w:t>
      </w:r>
      <w:r w:rsidRPr="00C661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</w:t>
      </w:r>
      <w:r w:rsidR="006703F6" w:rsidRPr="00C661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Which of the outcomes in</w:t>
      </w:r>
      <w:r w:rsidR="006703F6" w:rsidRPr="00C6619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5" w:anchor="data-uuid-cf7424593fee459db03c0090a4fd0350" w:history="1">
        <w:r w:rsidR="006703F6" w:rsidRPr="00C66197">
          <w:rPr>
            <w:rStyle w:val="Hyperlink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bdr w:val="none" w:sz="0" w:space="0" w:color="auto" w:frame="1"/>
          </w:rPr>
          <w:t>Table 6-2</w:t>
        </w:r>
      </w:hyperlink>
      <w:r w:rsidR="006703F6" w:rsidRPr="00C66197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6703F6" w:rsidRPr="00C661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are most appealing to you? Are you more attracted to extrinsic outcomes or intrinsic outcomes? Do you think that your preferences will change as you get older?</w:t>
      </w:r>
      <w:r w:rsidRPr="00C661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6619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IN" w:eastAsia="en-GB"/>
        </w:rPr>
        <w:t>(1.25 Marks )</w:t>
      </w:r>
    </w:p>
    <w:p w14:paraId="39352DBD" w14:textId="48288619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55AD5023" w14:textId="74E82D7F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0A2658BA" w14:textId="7C268725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02108A16" w14:textId="0B7A394B" w:rsidR="00AF27AB" w:rsidRPr="00AF27AB" w:rsidRDefault="00AF27AB" w:rsidP="00C66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</w:pPr>
      <w:r w:rsidRPr="00AF27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lastRenderedPageBreak/>
        <w:t>Due date for the submission of Assignment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:</w:t>
      </w:r>
      <w:r w:rsidRPr="00AF27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-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 xml:space="preserve"> 1</w:t>
      </w:r>
    </w:p>
    <w:p w14:paraId="04C31547" w14:textId="77777777" w:rsidR="00C66197" w:rsidRPr="00C66197" w:rsidRDefault="00AF27AB" w:rsidP="00C6619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left="284" w:hanging="3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Assignment-1 should posted in the Black Board by end of 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Week-04. </w:t>
      </w:r>
    </w:p>
    <w:p w14:paraId="1A450EAB" w14:textId="67716881" w:rsidR="00AF27AB" w:rsidRPr="00C66197" w:rsidRDefault="00AF27AB" w:rsidP="00C66197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left="284" w:hanging="3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GB"/>
        </w:rPr>
        <w:t xml:space="preserve">The due date for the submission of Assignment-1 is end of </w:t>
      </w:r>
      <w:r w:rsidRPr="00C661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 w:eastAsia="en-GB"/>
        </w:rPr>
        <w:t>Week-07.</w:t>
      </w:r>
    </w:p>
    <w:p w14:paraId="6D1BA3C1" w14:textId="58661321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5EF8C81B" w14:textId="09219BF6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6968F246" w14:textId="7A235353" w:rsidR="000D1116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38408692" w14:textId="77777777" w:rsidR="000D1116" w:rsidRPr="001B15A7" w:rsidRDefault="000D1116" w:rsidP="00B801BC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10D5687F" w14:textId="77777777" w:rsidR="00E46972" w:rsidRPr="00EE6431" w:rsidRDefault="00E46972" w:rsidP="00E469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66168C3A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1.</w:t>
      </w:r>
    </w:p>
    <w:p w14:paraId="0A0E80D7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</w:p>
    <w:p w14:paraId="69715D91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</w:p>
    <w:p w14:paraId="3D1F7CFC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7C0AAC4E" w14:textId="77777777" w:rsidR="00E46972" w:rsidRPr="00E46972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46972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40812798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975C8"/>
    <w:multiLevelType w:val="hybridMultilevel"/>
    <w:tmpl w:val="9CE22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538F0"/>
    <w:multiLevelType w:val="hybridMultilevel"/>
    <w:tmpl w:val="6986BCB6"/>
    <w:lvl w:ilvl="0" w:tplc="3384A77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B7F35"/>
    <w:multiLevelType w:val="hybridMultilevel"/>
    <w:tmpl w:val="A0DED62A"/>
    <w:lvl w:ilvl="0" w:tplc="89923BF6">
      <w:start w:val="1"/>
      <w:numFmt w:val="decimal"/>
      <w:lvlText w:val="%1."/>
      <w:lvlJc w:val="left"/>
      <w:pPr>
        <w:ind w:left="720" w:hanging="360"/>
      </w:pPr>
      <w:rPr>
        <w:rFonts w:hint="default"/>
        <w:color w:val="1F4E79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A13AB"/>
    <w:multiLevelType w:val="multilevel"/>
    <w:tmpl w:val="6DF83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C2752"/>
    <w:multiLevelType w:val="multilevel"/>
    <w:tmpl w:val="40E6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93C633C"/>
    <w:multiLevelType w:val="hybridMultilevel"/>
    <w:tmpl w:val="9A346890"/>
    <w:lvl w:ilvl="0" w:tplc="CCC068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C8A63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2CF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AA55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BAD9F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D60A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9048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21EE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542A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941CC"/>
    <w:multiLevelType w:val="multilevel"/>
    <w:tmpl w:val="BC3E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81CBB"/>
    <w:multiLevelType w:val="multilevel"/>
    <w:tmpl w:val="D328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C25E4D"/>
    <w:multiLevelType w:val="hybridMultilevel"/>
    <w:tmpl w:val="D96E14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A3B45"/>
    <w:multiLevelType w:val="hybridMultilevel"/>
    <w:tmpl w:val="F4621BA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51BE8"/>
    <w:multiLevelType w:val="hybridMultilevel"/>
    <w:tmpl w:val="5C606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6EEF0A5F"/>
    <w:multiLevelType w:val="hybridMultilevel"/>
    <w:tmpl w:val="0EBCA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D1A66"/>
    <w:multiLevelType w:val="multilevel"/>
    <w:tmpl w:val="D55A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380D85"/>
    <w:multiLevelType w:val="hybridMultilevel"/>
    <w:tmpl w:val="B0EE49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6"/>
  </w:num>
  <w:num w:numId="5">
    <w:abstractNumId w:val="4"/>
  </w:num>
  <w:num w:numId="6">
    <w:abstractNumId w:val="10"/>
  </w:num>
  <w:num w:numId="7">
    <w:abstractNumId w:val="16"/>
  </w:num>
  <w:num w:numId="8">
    <w:abstractNumId w:val="3"/>
  </w:num>
  <w:num w:numId="9">
    <w:abstractNumId w:val="8"/>
  </w:num>
  <w:num w:numId="10">
    <w:abstractNumId w:val="17"/>
  </w:num>
  <w:num w:numId="11">
    <w:abstractNumId w:val="11"/>
  </w:num>
  <w:num w:numId="12">
    <w:abstractNumId w:val="1"/>
  </w:num>
  <w:num w:numId="13">
    <w:abstractNumId w:val="7"/>
  </w:num>
  <w:num w:numId="14">
    <w:abstractNumId w:val="13"/>
  </w:num>
  <w:num w:numId="15">
    <w:abstractNumId w:val="2"/>
  </w:num>
  <w:num w:numId="16">
    <w:abstractNumId w:val="12"/>
  </w:num>
  <w:num w:numId="17">
    <w:abstractNumId w:val="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14D80"/>
    <w:rsid w:val="00017ADC"/>
    <w:rsid w:val="000A6BDA"/>
    <w:rsid w:val="000B1B14"/>
    <w:rsid w:val="000C108F"/>
    <w:rsid w:val="000D1116"/>
    <w:rsid w:val="001000E6"/>
    <w:rsid w:val="00146815"/>
    <w:rsid w:val="001966A1"/>
    <w:rsid w:val="001A2915"/>
    <w:rsid w:val="001B15A7"/>
    <w:rsid w:val="001E653B"/>
    <w:rsid w:val="00251B7D"/>
    <w:rsid w:val="00296C74"/>
    <w:rsid w:val="002A78CF"/>
    <w:rsid w:val="0034305D"/>
    <w:rsid w:val="0037213B"/>
    <w:rsid w:val="00386E3A"/>
    <w:rsid w:val="003E06F8"/>
    <w:rsid w:val="00452520"/>
    <w:rsid w:val="00470CBB"/>
    <w:rsid w:val="00481F72"/>
    <w:rsid w:val="004F61A0"/>
    <w:rsid w:val="005107A3"/>
    <w:rsid w:val="00511D94"/>
    <w:rsid w:val="00517EA3"/>
    <w:rsid w:val="005428F7"/>
    <w:rsid w:val="0059662A"/>
    <w:rsid w:val="005C5335"/>
    <w:rsid w:val="005C5F40"/>
    <w:rsid w:val="005E7DCA"/>
    <w:rsid w:val="006703F6"/>
    <w:rsid w:val="006A303C"/>
    <w:rsid w:val="00717158"/>
    <w:rsid w:val="007359D1"/>
    <w:rsid w:val="00743E7E"/>
    <w:rsid w:val="00764349"/>
    <w:rsid w:val="007A724C"/>
    <w:rsid w:val="007D38FB"/>
    <w:rsid w:val="008011D1"/>
    <w:rsid w:val="00802CC1"/>
    <w:rsid w:val="00842A8E"/>
    <w:rsid w:val="008D4C03"/>
    <w:rsid w:val="0091710E"/>
    <w:rsid w:val="00927482"/>
    <w:rsid w:val="0096125B"/>
    <w:rsid w:val="009D32C8"/>
    <w:rsid w:val="009D49C8"/>
    <w:rsid w:val="009F2B11"/>
    <w:rsid w:val="00A54FC9"/>
    <w:rsid w:val="00A913D2"/>
    <w:rsid w:val="00AF0124"/>
    <w:rsid w:val="00AF27AB"/>
    <w:rsid w:val="00B16C36"/>
    <w:rsid w:val="00B3646B"/>
    <w:rsid w:val="00B67B0A"/>
    <w:rsid w:val="00B801BC"/>
    <w:rsid w:val="00B83C8F"/>
    <w:rsid w:val="00BA2283"/>
    <w:rsid w:val="00BD3047"/>
    <w:rsid w:val="00C50EA1"/>
    <w:rsid w:val="00C66197"/>
    <w:rsid w:val="00C7135A"/>
    <w:rsid w:val="00D10826"/>
    <w:rsid w:val="00D25C55"/>
    <w:rsid w:val="00D42665"/>
    <w:rsid w:val="00D81239"/>
    <w:rsid w:val="00DA307D"/>
    <w:rsid w:val="00E26081"/>
    <w:rsid w:val="00E46972"/>
    <w:rsid w:val="00E8094D"/>
    <w:rsid w:val="00ED4BD9"/>
    <w:rsid w:val="00EE6431"/>
    <w:rsid w:val="00EF0B28"/>
    <w:rsid w:val="00F03F6D"/>
    <w:rsid w:val="00F04B42"/>
    <w:rsid w:val="00F3471E"/>
    <w:rsid w:val="00F553B7"/>
    <w:rsid w:val="00F97AFC"/>
    <w:rsid w:val="00FA489A"/>
    <w:rsid w:val="00FB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47303"/>
  <w15:docId w15:val="{9D7C4696-E567-45F4-A0BB-EB4EBDD0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107A3"/>
    <w:pPr>
      <w:widowControl w:val="0"/>
      <w:spacing w:after="0" w:line="240" w:lineRule="auto"/>
      <w:ind w:left="144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5107A3"/>
    <w:rPr>
      <w:rFonts w:ascii="Calibri" w:eastAsia="Calibri" w:hAnsi="Calibri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1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07A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A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32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7ADC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9F2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3578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tml1-cluster-e.mhlearnsmart.com/smartbook2/data/156931/highlighted_epub/OPS/s9ml/chapter06/reader_3.x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N. al-mofawez</cp:lastModifiedBy>
  <cp:revision>4</cp:revision>
  <dcterms:created xsi:type="dcterms:W3CDTF">2020-09-28T08:58:00Z</dcterms:created>
  <dcterms:modified xsi:type="dcterms:W3CDTF">2020-10-08T18:17:00Z</dcterms:modified>
</cp:coreProperties>
</file>